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02B8" w14:textId="47186C92" w:rsidR="009B0E03" w:rsidRPr="009B0E03" w:rsidRDefault="009B0E03" w:rsidP="009D447A">
      <w:pPr>
        <w:rPr>
          <w:rFonts w:ascii="Times" w:hAnsi="Times"/>
          <w:b/>
          <w:bCs/>
          <w:sz w:val="32"/>
          <w:szCs w:val="32"/>
        </w:rPr>
      </w:pPr>
      <w:r w:rsidRPr="009B0E03">
        <w:rPr>
          <w:rFonts w:ascii="Times" w:hAnsi="Times"/>
          <w:b/>
          <w:bCs/>
          <w:sz w:val="32"/>
          <w:szCs w:val="32"/>
        </w:rPr>
        <w:t xml:space="preserve">Neuroplasticity in </w:t>
      </w:r>
      <w:r>
        <w:rPr>
          <w:rFonts w:ascii="Times" w:hAnsi="Times"/>
          <w:b/>
          <w:bCs/>
          <w:sz w:val="32"/>
          <w:szCs w:val="32"/>
        </w:rPr>
        <w:t>Rehabbing Sports Injuries</w:t>
      </w:r>
    </w:p>
    <w:p w14:paraId="5D588BD3" w14:textId="77777777" w:rsidR="009B0E03" w:rsidRDefault="009B0E03" w:rsidP="009D447A">
      <w:pPr>
        <w:rPr>
          <w:rFonts w:ascii="Times" w:hAnsi="Times"/>
        </w:rPr>
      </w:pPr>
    </w:p>
    <w:p w14:paraId="3774ED5D" w14:textId="3F7A8689" w:rsidR="004C1C45" w:rsidRDefault="004C1C45" w:rsidP="009D447A">
      <w:pPr>
        <w:rPr>
          <w:rFonts w:ascii="Times" w:hAnsi="Times"/>
        </w:rPr>
      </w:pPr>
      <w:r w:rsidRPr="00C60676">
        <w:rPr>
          <w:rFonts w:ascii="Times" w:hAnsi="Times"/>
        </w:rPr>
        <w:t>As clinicians, we are experts in treating the body’s hardware…but what about the body’s</w:t>
      </w:r>
      <w:r>
        <w:rPr>
          <w:rFonts w:ascii="Times" w:hAnsi="Times"/>
        </w:rPr>
        <w:t xml:space="preserve"> software? </w:t>
      </w:r>
    </w:p>
    <w:p w14:paraId="1BC2E387" w14:textId="77777777" w:rsidR="004C1C45" w:rsidRDefault="004C1C45" w:rsidP="009D447A">
      <w:pPr>
        <w:rPr>
          <w:rFonts w:ascii="Times" w:hAnsi="Times"/>
        </w:rPr>
      </w:pPr>
    </w:p>
    <w:p w14:paraId="1E9F643F" w14:textId="73826DD2" w:rsidR="004C1C45" w:rsidRPr="004C1C45" w:rsidRDefault="004C1C45" w:rsidP="009D447A">
      <w:pPr>
        <w:rPr>
          <w:rFonts w:ascii="Times" w:hAnsi="Times"/>
        </w:rPr>
      </w:pPr>
      <w:r>
        <w:rPr>
          <w:rFonts w:ascii="Times" w:hAnsi="Times"/>
        </w:rPr>
        <w:t xml:space="preserve">Neuroplastic alterations secondary to orthopedic injury have become widely assayed in recent research. Cortical adaptations have been demonstrated amongst </w:t>
      </w:r>
      <w:r w:rsidR="00B37E29">
        <w:rPr>
          <w:rFonts w:ascii="Times" w:hAnsi="Times"/>
        </w:rPr>
        <w:t xml:space="preserve">individuals </w:t>
      </w:r>
      <w:r>
        <w:rPr>
          <w:rFonts w:ascii="Times" w:hAnsi="Times"/>
        </w:rPr>
        <w:t>living with low back pain, chronic ankle instability, and soft tissue rupture/repair.</w:t>
      </w:r>
      <w:r>
        <w:rPr>
          <w:rFonts w:ascii="Times" w:hAnsi="Times"/>
          <w:vertAlign w:val="superscript"/>
        </w:rPr>
        <w:t xml:space="preserve">1-6 </w:t>
      </w:r>
      <w:r>
        <w:rPr>
          <w:rFonts w:ascii="Times" w:hAnsi="Times"/>
        </w:rPr>
        <w:t>What may be m</w:t>
      </w:r>
      <w:r w:rsidR="006F099E">
        <w:rPr>
          <w:rFonts w:ascii="Times" w:hAnsi="Times"/>
        </w:rPr>
        <w:t xml:space="preserve">ost </w:t>
      </w:r>
      <w:r w:rsidR="00B37E29">
        <w:rPr>
          <w:rFonts w:ascii="Times" w:hAnsi="Times"/>
        </w:rPr>
        <w:t>convincing</w:t>
      </w:r>
      <w:r>
        <w:rPr>
          <w:rFonts w:ascii="Times" w:hAnsi="Times"/>
        </w:rPr>
        <w:t xml:space="preserve"> in this realm of study are the long-lasting neurological changes demonstrated in response to anterior cruciate ligament injury.</w:t>
      </w:r>
    </w:p>
    <w:p w14:paraId="63D5932F" w14:textId="77777777" w:rsidR="004C1C45" w:rsidRDefault="004C1C45" w:rsidP="009D447A">
      <w:pPr>
        <w:rPr>
          <w:rFonts w:ascii="Times" w:hAnsi="Times"/>
        </w:rPr>
      </w:pPr>
    </w:p>
    <w:p w14:paraId="5187670C" w14:textId="7EE899DC" w:rsidR="005966FD" w:rsidRDefault="00C475BA" w:rsidP="00B37E29">
      <w:pPr>
        <w:rPr>
          <w:rFonts w:ascii="Times" w:hAnsi="Times"/>
          <w:vertAlign w:val="superscript"/>
        </w:rPr>
      </w:pPr>
      <w:r w:rsidRPr="009D447A">
        <w:rPr>
          <w:rFonts w:ascii="Times" w:hAnsi="Times"/>
        </w:rPr>
        <w:t>A</w:t>
      </w:r>
      <w:r w:rsidR="003C51D0" w:rsidRPr="009D447A">
        <w:rPr>
          <w:rFonts w:ascii="Times" w:hAnsi="Times"/>
        </w:rPr>
        <w:t xml:space="preserve">nterior cruciate ligament (ACL) </w:t>
      </w:r>
      <w:r w:rsidRPr="009D447A">
        <w:rPr>
          <w:rFonts w:ascii="Times" w:hAnsi="Times"/>
        </w:rPr>
        <w:t>r</w:t>
      </w:r>
      <w:r w:rsidR="003C51D0" w:rsidRPr="009D447A">
        <w:rPr>
          <w:rFonts w:ascii="Times" w:hAnsi="Times"/>
        </w:rPr>
        <w:t>upture</w:t>
      </w:r>
      <w:r w:rsidR="00250288" w:rsidRPr="009D447A">
        <w:rPr>
          <w:rFonts w:ascii="Times" w:hAnsi="Times"/>
        </w:rPr>
        <w:t xml:space="preserve"> is a common orthopedic injury</w:t>
      </w:r>
      <w:r w:rsidR="00B512D5" w:rsidRPr="009D447A">
        <w:rPr>
          <w:rFonts w:ascii="Times" w:hAnsi="Times"/>
        </w:rPr>
        <w:t xml:space="preserve"> that </w:t>
      </w:r>
      <w:r w:rsidR="00FB1CFF" w:rsidRPr="009D447A">
        <w:rPr>
          <w:rFonts w:ascii="Times" w:hAnsi="Times"/>
        </w:rPr>
        <w:t>usually</w:t>
      </w:r>
      <w:r w:rsidR="00B512D5" w:rsidRPr="009D447A">
        <w:rPr>
          <w:rFonts w:ascii="Times" w:hAnsi="Times"/>
        </w:rPr>
        <w:t xml:space="preserve"> requires surgical reconstruction and physical rehabilitation to restore </w:t>
      </w:r>
      <w:r w:rsidRPr="009D447A">
        <w:rPr>
          <w:rFonts w:ascii="Times" w:hAnsi="Times"/>
        </w:rPr>
        <w:t xml:space="preserve">mechanical </w:t>
      </w:r>
      <w:r w:rsidR="00B512D5" w:rsidRPr="009D447A">
        <w:rPr>
          <w:rFonts w:ascii="Times" w:hAnsi="Times"/>
        </w:rPr>
        <w:t>stability</w:t>
      </w:r>
      <w:r w:rsidR="0019059A">
        <w:rPr>
          <w:rFonts w:ascii="Times" w:hAnsi="Times"/>
        </w:rPr>
        <w:t xml:space="preserve"> and function</w:t>
      </w:r>
      <w:r w:rsidR="00F84B32">
        <w:rPr>
          <w:rFonts w:ascii="Times" w:hAnsi="Times"/>
        </w:rPr>
        <w:t>.</w:t>
      </w:r>
      <w:r w:rsidR="00D5660E">
        <w:rPr>
          <w:rFonts w:ascii="Times" w:hAnsi="Times"/>
          <w:vertAlign w:val="superscript"/>
        </w:rPr>
        <w:t>1</w:t>
      </w:r>
      <w:r w:rsidR="004C1C45">
        <w:rPr>
          <w:rFonts w:ascii="Times" w:hAnsi="Times"/>
          <w:vertAlign w:val="superscript"/>
        </w:rPr>
        <w:t xml:space="preserve"> </w:t>
      </w:r>
      <w:r w:rsidR="00B512D5" w:rsidRPr="009D447A">
        <w:rPr>
          <w:rFonts w:ascii="Times" w:hAnsi="Times"/>
        </w:rPr>
        <w:t xml:space="preserve">Aside from </w:t>
      </w:r>
      <w:proofErr w:type="spellStart"/>
      <w:r w:rsidR="00B512D5" w:rsidRPr="009D447A">
        <w:rPr>
          <w:rFonts w:ascii="Times" w:hAnsi="Times"/>
        </w:rPr>
        <w:t>it’s</w:t>
      </w:r>
      <w:proofErr w:type="spellEnd"/>
      <w:r w:rsidR="00B512D5" w:rsidRPr="009D447A">
        <w:rPr>
          <w:rFonts w:ascii="Times" w:hAnsi="Times"/>
        </w:rPr>
        <w:t xml:space="preserve"> mechanical necessity, the ACL</w:t>
      </w:r>
      <w:r w:rsidR="00D5660E">
        <w:rPr>
          <w:rFonts w:ascii="Times" w:hAnsi="Times"/>
        </w:rPr>
        <w:t xml:space="preserve"> also serves a crucia</w:t>
      </w:r>
      <w:r w:rsidR="0019059A">
        <w:rPr>
          <w:rFonts w:ascii="Times" w:hAnsi="Times"/>
        </w:rPr>
        <w:t xml:space="preserve">l role in </w:t>
      </w:r>
      <w:r w:rsidR="004C1C45">
        <w:rPr>
          <w:rFonts w:ascii="Times" w:hAnsi="Times"/>
        </w:rPr>
        <w:t xml:space="preserve">the </w:t>
      </w:r>
      <w:r w:rsidR="00D5660E">
        <w:rPr>
          <w:rFonts w:ascii="Times" w:hAnsi="Times"/>
        </w:rPr>
        <w:t xml:space="preserve">proprioceptive </w:t>
      </w:r>
      <w:r w:rsidR="0019059A">
        <w:rPr>
          <w:rFonts w:ascii="Times" w:hAnsi="Times"/>
        </w:rPr>
        <w:t>function of the lo</w:t>
      </w:r>
      <w:r w:rsidR="007A60B4">
        <w:rPr>
          <w:rFonts w:ascii="Times" w:hAnsi="Times"/>
        </w:rPr>
        <w:t>wer extremity. T</w:t>
      </w:r>
      <w:r w:rsidR="0019059A">
        <w:rPr>
          <w:rFonts w:ascii="Times" w:hAnsi="Times"/>
        </w:rPr>
        <w:t>he ACL is</w:t>
      </w:r>
      <w:r w:rsidRPr="009D447A">
        <w:rPr>
          <w:rFonts w:ascii="Times" w:hAnsi="Times"/>
        </w:rPr>
        <w:t xml:space="preserve"> densely innervated </w:t>
      </w:r>
      <w:r w:rsidR="0019059A">
        <w:rPr>
          <w:rFonts w:ascii="Times" w:hAnsi="Times"/>
        </w:rPr>
        <w:t>by</w:t>
      </w:r>
      <w:r w:rsidRPr="009D447A">
        <w:rPr>
          <w:rFonts w:ascii="Times" w:hAnsi="Times"/>
        </w:rPr>
        <w:t xml:space="preserve"> mechanoreceptors </w:t>
      </w:r>
      <w:r w:rsidR="007A60B4">
        <w:rPr>
          <w:rFonts w:ascii="Times" w:hAnsi="Times"/>
        </w:rPr>
        <w:t>responsible</w:t>
      </w:r>
      <w:r w:rsidRPr="009D447A">
        <w:rPr>
          <w:rFonts w:ascii="Times" w:hAnsi="Times"/>
        </w:rPr>
        <w:t xml:space="preserve"> for detecting</w:t>
      </w:r>
      <w:r w:rsidR="00FB1CFF" w:rsidRPr="009D447A">
        <w:rPr>
          <w:rFonts w:ascii="Times" w:hAnsi="Times"/>
        </w:rPr>
        <w:t xml:space="preserve"> and communicating</w:t>
      </w:r>
      <w:r w:rsidRPr="009D447A">
        <w:rPr>
          <w:rFonts w:ascii="Times" w:hAnsi="Times"/>
        </w:rPr>
        <w:t xml:space="preserve"> functional joint position, a</w:t>
      </w:r>
      <w:r w:rsidR="00FB1CFF" w:rsidRPr="009D447A">
        <w:rPr>
          <w:rFonts w:ascii="Times" w:hAnsi="Times"/>
        </w:rPr>
        <w:t xml:space="preserve">natomical force production, and biomechanical </w:t>
      </w:r>
      <w:r w:rsidR="009D447A" w:rsidRPr="009D447A">
        <w:rPr>
          <w:rFonts w:ascii="Times" w:hAnsi="Times"/>
        </w:rPr>
        <w:t xml:space="preserve">forces which may lead to </w:t>
      </w:r>
      <w:r w:rsidR="00E45A10">
        <w:rPr>
          <w:rFonts w:ascii="Times" w:hAnsi="Times"/>
        </w:rPr>
        <w:t xml:space="preserve">lower extremity </w:t>
      </w:r>
      <w:r w:rsidR="009D447A" w:rsidRPr="009D447A">
        <w:rPr>
          <w:rFonts w:ascii="Times" w:hAnsi="Times"/>
        </w:rPr>
        <w:t>injury</w:t>
      </w:r>
      <w:r w:rsidR="004C1C45">
        <w:rPr>
          <w:rFonts w:ascii="Times" w:hAnsi="Times"/>
        </w:rPr>
        <w:t>.</w:t>
      </w:r>
      <w:r w:rsidR="004C1C45">
        <w:rPr>
          <w:rFonts w:ascii="Times" w:hAnsi="Times"/>
          <w:vertAlign w:val="superscript"/>
        </w:rPr>
        <w:t>7</w:t>
      </w:r>
      <w:r w:rsidR="00D8739B">
        <w:rPr>
          <w:rFonts w:ascii="Times" w:hAnsi="Times"/>
          <w:vertAlign w:val="superscript"/>
        </w:rPr>
        <w:t xml:space="preserve"> </w:t>
      </w:r>
      <w:r w:rsidR="00D8739B" w:rsidRPr="00D8739B">
        <w:rPr>
          <w:rFonts w:ascii="Times" w:hAnsi="Times"/>
        </w:rPr>
        <w:t>Upon</w:t>
      </w:r>
      <w:r w:rsidR="007A60B4">
        <w:rPr>
          <w:rFonts w:ascii="Times" w:hAnsi="Times"/>
        </w:rPr>
        <w:t xml:space="preserve"> rupture, these nerve cells become damaged with </w:t>
      </w:r>
      <w:r w:rsidR="00D8739B">
        <w:rPr>
          <w:rFonts w:ascii="Times" w:hAnsi="Times"/>
        </w:rPr>
        <w:t>poor potential for regeneration or neuroplastic rerouting</w:t>
      </w:r>
      <w:r w:rsidR="00367515">
        <w:rPr>
          <w:rFonts w:ascii="Times" w:hAnsi="Times"/>
        </w:rPr>
        <w:t>, thus creating a disconnect between the peripher</w:t>
      </w:r>
      <w:r w:rsidR="005966FD">
        <w:rPr>
          <w:rFonts w:ascii="Times" w:hAnsi="Times"/>
        </w:rPr>
        <w:t>al and cortical nervous systems</w:t>
      </w:r>
      <w:r w:rsidR="00D8739B">
        <w:rPr>
          <w:rFonts w:ascii="Times" w:hAnsi="Times"/>
        </w:rPr>
        <w:t>.</w:t>
      </w:r>
      <w:r w:rsidR="004C1C45">
        <w:rPr>
          <w:rFonts w:ascii="Times" w:hAnsi="Times"/>
          <w:vertAlign w:val="superscript"/>
        </w:rPr>
        <w:t>8</w:t>
      </w:r>
      <w:r w:rsidR="006F099E">
        <w:rPr>
          <w:rFonts w:ascii="Times" w:hAnsi="Times"/>
        </w:rPr>
        <w:t xml:space="preserve"> </w:t>
      </w:r>
      <w:r w:rsidR="00B37E29">
        <w:rPr>
          <w:rFonts w:ascii="Times" w:hAnsi="Times"/>
        </w:rPr>
        <w:t xml:space="preserve">These mechanical disruptions ignite a cascade of complex physical and neurocognitive adaptations which may negatively impair </w:t>
      </w:r>
      <w:r w:rsidR="00367515">
        <w:rPr>
          <w:rFonts w:ascii="Times" w:hAnsi="Times"/>
        </w:rPr>
        <w:t>long-term recovery</w:t>
      </w:r>
      <w:r w:rsidR="00B37E29">
        <w:rPr>
          <w:rFonts w:ascii="Times" w:hAnsi="Times"/>
        </w:rPr>
        <w:t>.</w:t>
      </w:r>
      <w:r w:rsidR="00EB67A0">
        <w:rPr>
          <w:rFonts w:ascii="Times" w:hAnsi="Times"/>
          <w:vertAlign w:val="superscript"/>
        </w:rPr>
        <w:t>7</w:t>
      </w:r>
      <w:r w:rsidR="00C60676">
        <w:rPr>
          <w:rFonts w:ascii="Times" w:hAnsi="Times"/>
          <w:vertAlign w:val="superscript"/>
        </w:rPr>
        <w:t xml:space="preserve"> </w:t>
      </w:r>
    </w:p>
    <w:p w14:paraId="71095051" w14:textId="77777777" w:rsidR="005966FD" w:rsidRDefault="005966FD" w:rsidP="00B37E29">
      <w:pPr>
        <w:rPr>
          <w:rFonts w:ascii="Times" w:hAnsi="Times"/>
          <w:vertAlign w:val="superscript"/>
        </w:rPr>
      </w:pPr>
    </w:p>
    <w:p w14:paraId="7D2EEE71" w14:textId="09731E88" w:rsidR="005966FD" w:rsidRDefault="005966FD" w:rsidP="00B37E29">
      <w:pPr>
        <w:rPr>
          <w:rFonts w:ascii="Times" w:hAnsi="Times"/>
        </w:rPr>
      </w:pPr>
      <w:r>
        <w:rPr>
          <w:rFonts w:ascii="Times" w:hAnsi="Times"/>
        </w:rPr>
        <w:t>Statistically, we know that traditional recovery me</w:t>
      </w:r>
      <w:r w:rsidR="00D47B0E">
        <w:rPr>
          <w:rFonts w:ascii="Times" w:hAnsi="Times"/>
        </w:rPr>
        <w:t xml:space="preserve">thods following ACL rupture </w:t>
      </w:r>
      <w:r>
        <w:rPr>
          <w:rFonts w:ascii="Times" w:hAnsi="Times"/>
        </w:rPr>
        <w:t xml:space="preserve">have poor long-term outcomes. Even with extensive rehabilitation, individuals who sustain an ACL injury have a 30% failure rate </w:t>
      </w:r>
      <w:r w:rsidR="00D47B0E">
        <w:rPr>
          <w:rFonts w:ascii="Times" w:hAnsi="Times"/>
        </w:rPr>
        <w:t>on</w:t>
      </w:r>
      <w:r>
        <w:rPr>
          <w:rFonts w:ascii="Times" w:hAnsi="Times"/>
        </w:rPr>
        <w:t xml:space="preserve"> the ipsilateral structure, a significantly increased risk-of-injury to the contralateral structure, decreased health-related quality of life,</w:t>
      </w:r>
      <w:r w:rsidR="00D47B0E">
        <w:rPr>
          <w:rFonts w:ascii="Times" w:hAnsi="Times"/>
        </w:rPr>
        <w:t xml:space="preserve"> an increased risk for osteoarthritis,</w:t>
      </w:r>
      <w:r>
        <w:rPr>
          <w:rFonts w:ascii="Times" w:hAnsi="Times"/>
        </w:rPr>
        <w:t xml:space="preserve"> and a self-reported “inability” to perform at pre-injury status.</w:t>
      </w:r>
      <w:r w:rsidR="00D47B0E">
        <w:rPr>
          <w:rFonts w:ascii="Times" w:hAnsi="Times"/>
          <w:vertAlign w:val="superscript"/>
        </w:rPr>
        <w:t>5-7</w:t>
      </w:r>
      <w:r>
        <w:rPr>
          <w:rFonts w:ascii="Times" w:hAnsi="Times"/>
        </w:rPr>
        <w:t xml:space="preserve"> So, what does the brain have to do with this?</w:t>
      </w:r>
      <w:r w:rsidR="003A7700">
        <w:rPr>
          <w:rFonts w:ascii="Times" w:hAnsi="Times"/>
        </w:rPr>
        <w:t xml:space="preserve"> And how can we help mitigate these effects?</w:t>
      </w:r>
    </w:p>
    <w:p w14:paraId="46BCF92F" w14:textId="77777777" w:rsidR="005966FD" w:rsidRDefault="005966FD" w:rsidP="00B37E29">
      <w:pPr>
        <w:rPr>
          <w:rFonts w:ascii="Times" w:hAnsi="Times"/>
        </w:rPr>
      </w:pPr>
    </w:p>
    <w:p w14:paraId="38450DCA" w14:textId="0DB56F0D" w:rsidR="005966FD" w:rsidRDefault="005966FD" w:rsidP="00B37E29">
      <w:pPr>
        <w:rPr>
          <w:rFonts w:ascii="Times" w:hAnsi="Times"/>
          <w:vertAlign w:val="superscript"/>
        </w:rPr>
      </w:pPr>
      <w:r>
        <w:rPr>
          <w:rFonts w:ascii="Times" w:hAnsi="Times"/>
        </w:rPr>
        <w:t>fMRI studies have found evidence of hyperactivity in the motor, lingual, somatosensory cortexes amongst individuals who’ve undergone ACL reconstruction and rehabilitation (ACL-R).</w:t>
      </w:r>
      <w:r w:rsidR="003A7700">
        <w:rPr>
          <w:rFonts w:ascii="Times" w:hAnsi="Times"/>
          <w:vertAlign w:val="superscript"/>
        </w:rPr>
        <w:t>4,</w:t>
      </w:r>
      <w:r w:rsidR="00D47B0E">
        <w:rPr>
          <w:rFonts w:ascii="Times" w:hAnsi="Times"/>
          <w:vertAlign w:val="superscript"/>
        </w:rPr>
        <w:t>6</w:t>
      </w:r>
      <w:r>
        <w:rPr>
          <w:rFonts w:ascii="Times" w:hAnsi="Times"/>
        </w:rPr>
        <w:t xml:space="preserve"> </w:t>
      </w:r>
      <w:r w:rsidR="003A7700">
        <w:rPr>
          <w:rFonts w:ascii="Times" w:hAnsi="Times"/>
        </w:rPr>
        <w:t>These effects can be largely attributed to altered sensory feedback, causing the nervous system to rely on other sources (i.e. visual stimuli, external feedback) to produce functional movement.</w:t>
      </w:r>
      <w:r w:rsidR="00D47B0E">
        <w:rPr>
          <w:rFonts w:ascii="Times" w:hAnsi="Times"/>
          <w:vertAlign w:val="superscript"/>
        </w:rPr>
        <w:t>6</w:t>
      </w:r>
      <w:r w:rsidR="00D97D2F">
        <w:rPr>
          <w:rFonts w:ascii="Times" w:hAnsi="Times"/>
          <w:vertAlign w:val="superscript"/>
        </w:rPr>
        <w:t xml:space="preserve"> </w:t>
      </w:r>
      <w:r w:rsidR="00D97D2F">
        <w:rPr>
          <w:rFonts w:ascii="Times" w:hAnsi="Times"/>
        </w:rPr>
        <w:t>Current rehabilitation paradigms do not place specific importance on neurocognitive or visual-motor training. Incorporating these ideals into our everyday clinical practice could be as simple as performing eyes-closed quad sets, providing external feedback cues, or adding quick cognitive tasks to basic strengthening exercises.</w:t>
      </w:r>
      <w:r w:rsidR="00D97D2F">
        <w:rPr>
          <w:rFonts w:ascii="Times" w:hAnsi="Times"/>
          <w:vertAlign w:val="superscript"/>
        </w:rPr>
        <w:t xml:space="preserve">7 </w:t>
      </w:r>
    </w:p>
    <w:p w14:paraId="6CD18E24" w14:textId="77777777" w:rsidR="00D47B0E" w:rsidRDefault="00D47B0E" w:rsidP="00B37E29">
      <w:pPr>
        <w:rPr>
          <w:rFonts w:ascii="Times" w:hAnsi="Times"/>
          <w:vertAlign w:val="superscript"/>
        </w:rPr>
      </w:pPr>
    </w:p>
    <w:p w14:paraId="4381D225" w14:textId="6A740933" w:rsidR="00D47B0E" w:rsidRPr="00D47B0E" w:rsidRDefault="00D47B0E" w:rsidP="00B37E29">
      <w:pPr>
        <w:rPr>
          <w:rFonts w:ascii="Times" w:hAnsi="Times"/>
        </w:rPr>
      </w:pPr>
      <w:r>
        <w:rPr>
          <w:rFonts w:ascii="Times" w:hAnsi="Times"/>
        </w:rPr>
        <w:t xml:space="preserve">By understanding the ways in which our brains react to orthopedic injury, we can better prepare our patients for full and successful recoveries. It is key to remember: there is no injury without deafferentation; there is no deafferentation without neuroplastic compensation. Everything that we do as rehabilitative clinicians has the ability to effect the minds and bodies of our patients. It is a responsibility we must handle with both intellect and care. </w:t>
      </w:r>
    </w:p>
    <w:p w14:paraId="3AE2231F" w14:textId="77777777" w:rsidR="005966FD" w:rsidRPr="005966FD" w:rsidRDefault="005966FD" w:rsidP="00B37E29">
      <w:pPr>
        <w:rPr>
          <w:rFonts w:ascii="Times" w:hAnsi="Times"/>
        </w:rPr>
      </w:pPr>
    </w:p>
    <w:p w14:paraId="2727CBC1" w14:textId="77777777" w:rsidR="00B512D5" w:rsidRDefault="00B512D5" w:rsidP="00B04F24">
      <w:pPr>
        <w:rPr>
          <w:rFonts w:ascii="Times" w:hAnsi="Times"/>
        </w:rPr>
      </w:pPr>
    </w:p>
    <w:p w14:paraId="22FC02CD" w14:textId="644DC935" w:rsidR="00D47B0E" w:rsidRPr="00D47B0E" w:rsidRDefault="00D47B0E" w:rsidP="00D47B0E">
      <w:pPr>
        <w:pStyle w:val="Bibliography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D47B0E">
        <w:rPr>
          <w:rFonts w:ascii="Times" w:hAnsi="Times"/>
          <w:color w:val="000000" w:themeColor="text1"/>
        </w:rPr>
        <w:lastRenderedPageBreak/>
        <w:t xml:space="preserve">Kobayashi, Y. </w:t>
      </w:r>
      <w:r w:rsidRPr="00D47B0E">
        <w:rPr>
          <w:rFonts w:ascii="Times" w:hAnsi="Times"/>
          <w:iCs/>
          <w:color w:val="000000" w:themeColor="text1"/>
        </w:rPr>
        <w:t>et al.</w:t>
      </w:r>
      <w:r w:rsidRPr="00D47B0E">
        <w:rPr>
          <w:rFonts w:ascii="Times" w:hAnsi="Times"/>
          <w:color w:val="000000" w:themeColor="text1"/>
        </w:rPr>
        <w:t xml:space="preserve"> Augmented cerebral activation by lumbar mechanical stimulus in chronic low back pain patients: an FMRI study. </w:t>
      </w:r>
      <w:r w:rsidRPr="00D47B0E">
        <w:rPr>
          <w:rFonts w:ascii="Times" w:hAnsi="Times"/>
          <w:iCs/>
          <w:color w:val="000000" w:themeColor="text1"/>
        </w:rPr>
        <w:t>Spine.</w:t>
      </w:r>
      <w:r w:rsidRPr="00D47B0E">
        <w:rPr>
          <w:rFonts w:ascii="Times" w:hAnsi="Times"/>
          <w:color w:val="000000" w:themeColor="text1"/>
        </w:rPr>
        <w:t xml:space="preserve"> 2009; </w:t>
      </w:r>
      <w:r w:rsidRPr="00D47B0E">
        <w:rPr>
          <w:rFonts w:ascii="Times" w:hAnsi="Times"/>
          <w:bCs/>
          <w:color w:val="000000" w:themeColor="text1"/>
        </w:rPr>
        <w:t>34,</w:t>
      </w:r>
      <w:r w:rsidRPr="00D47B0E">
        <w:rPr>
          <w:rFonts w:ascii="Times" w:hAnsi="Times"/>
          <w:color w:val="000000" w:themeColor="text1"/>
        </w:rPr>
        <w:t xml:space="preserve"> 2431–2436.</w:t>
      </w:r>
    </w:p>
    <w:p w14:paraId="6F2AED35" w14:textId="5F9409BA" w:rsidR="00D47B0E" w:rsidRPr="00D47B0E" w:rsidRDefault="00D47B0E" w:rsidP="00D47B0E">
      <w:pPr>
        <w:pStyle w:val="Bibliography"/>
        <w:numPr>
          <w:ilvl w:val="0"/>
          <w:numId w:val="2"/>
        </w:numPr>
        <w:rPr>
          <w:rFonts w:ascii="Times" w:hAnsi="Times"/>
          <w:color w:val="000000" w:themeColor="text1"/>
        </w:rPr>
      </w:pPr>
      <w:proofErr w:type="spellStart"/>
      <w:r w:rsidRPr="00D47B0E">
        <w:rPr>
          <w:rFonts w:ascii="Times" w:hAnsi="Times"/>
          <w:color w:val="000000" w:themeColor="text1"/>
        </w:rPr>
        <w:t>Giesecke</w:t>
      </w:r>
      <w:proofErr w:type="spellEnd"/>
      <w:r w:rsidRPr="00D47B0E">
        <w:rPr>
          <w:rFonts w:ascii="Times" w:hAnsi="Times"/>
          <w:color w:val="000000" w:themeColor="text1"/>
        </w:rPr>
        <w:t xml:space="preserve">, T. </w:t>
      </w:r>
      <w:r w:rsidRPr="00D47B0E">
        <w:rPr>
          <w:rFonts w:ascii="Times" w:hAnsi="Times"/>
          <w:iCs/>
          <w:color w:val="000000" w:themeColor="text1"/>
        </w:rPr>
        <w:t>et al.</w:t>
      </w:r>
      <w:r w:rsidRPr="00D47B0E">
        <w:rPr>
          <w:rFonts w:ascii="Times" w:hAnsi="Times"/>
          <w:color w:val="000000" w:themeColor="text1"/>
        </w:rPr>
        <w:t xml:space="preserve"> Evidence of augmented central pain processing in idiopathic chronic low back pain. </w:t>
      </w:r>
      <w:r w:rsidRPr="00D47B0E">
        <w:rPr>
          <w:rFonts w:ascii="Times" w:hAnsi="Times"/>
          <w:iCs/>
          <w:color w:val="000000" w:themeColor="text1"/>
        </w:rPr>
        <w:t>Arthritis Rheum. 2004;</w:t>
      </w:r>
      <w:r w:rsidRPr="00D47B0E">
        <w:rPr>
          <w:rFonts w:ascii="Times" w:hAnsi="Times"/>
          <w:color w:val="000000" w:themeColor="text1"/>
        </w:rPr>
        <w:t xml:space="preserve"> </w:t>
      </w:r>
      <w:r w:rsidRPr="00D47B0E">
        <w:rPr>
          <w:rFonts w:ascii="Times" w:hAnsi="Times"/>
          <w:bCs/>
          <w:color w:val="000000" w:themeColor="text1"/>
        </w:rPr>
        <w:t>50,</w:t>
      </w:r>
      <w:r w:rsidRPr="00D47B0E">
        <w:rPr>
          <w:rFonts w:ascii="Times" w:hAnsi="Times"/>
          <w:color w:val="000000" w:themeColor="text1"/>
        </w:rPr>
        <w:t xml:space="preserve"> 613–623.</w:t>
      </w:r>
    </w:p>
    <w:p w14:paraId="4E2BFFAF" w14:textId="39E1BB40" w:rsidR="00D47B0E" w:rsidRPr="00D47B0E" w:rsidRDefault="00D47B0E" w:rsidP="00D47B0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000000" w:themeColor="text1"/>
        </w:rPr>
      </w:pPr>
      <w:r w:rsidRPr="00D47B0E">
        <w:rPr>
          <w:rFonts w:ascii="Times" w:eastAsia="Times New Roman" w:hAnsi="Times" w:cs="Times New Roman"/>
          <w:color w:val="000000" w:themeColor="text1"/>
          <w:shd w:val="clear" w:color="auto" w:fill="FFFFFF"/>
        </w:rPr>
        <w:t>Rosen, A.B. et al.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Alterations in cortical activation among individuals with chronic ankle instability during single-l</w:t>
      </w:r>
      <w:r w:rsidRPr="00D47B0E">
        <w:rPr>
          <w:rFonts w:ascii="Times" w:eastAsia="Times New Roman" w:hAnsi="Times" w:cs="Times New Roman"/>
          <w:color w:val="000000" w:themeColor="text1"/>
          <w:shd w:val="clear" w:color="auto" w:fill="FFFFFF"/>
        </w:rPr>
        <w:t>i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mb postural c</w:t>
      </w:r>
      <w:r w:rsidRPr="00D47B0E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ontrol. J. </w:t>
      </w:r>
      <w:proofErr w:type="spellStart"/>
      <w:r w:rsidRPr="00D47B0E">
        <w:rPr>
          <w:rFonts w:ascii="Times" w:eastAsia="Times New Roman" w:hAnsi="Times" w:cs="Times New Roman"/>
          <w:color w:val="000000" w:themeColor="text1"/>
          <w:shd w:val="clear" w:color="auto" w:fill="FFFFFF"/>
        </w:rPr>
        <w:t>At</w:t>
      </w:r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>hl</w:t>
      </w:r>
      <w:proofErr w:type="spellEnd"/>
      <w:r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Train</w:t>
      </w:r>
      <w:r w:rsidRPr="00D47B0E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. 2019; 54, 718-726. </w:t>
      </w:r>
    </w:p>
    <w:p w14:paraId="573D114E" w14:textId="51EBCB65" w:rsidR="00D47B0E" w:rsidRPr="00D47B0E" w:rsidRDefault="00D47B0E" w:rsidP="00D47B0E">
      <w:pPr>
        <w:pStyle w:val="Bibliography"/>
        <w:numPr>
          <w:ilvl w:val="0"/>
          <w:numId w:val="2"/>
        </w:numPr>
        <w:rPr>
          <w:rFonts w:ascii="Times" w:hAnsi="Times" w:cs="Times New Roman"/>
          <w:color w:val="000000" w:themeColor="text1"/>
        </w:rPr>
      </w:pPr>
      <w:r w:rsidRPr="00D47B0E">
        <w:rPr>
          <w:rFonts w:ascii="Times" w:hAnsi="Times" w:cs="Times New Roman"/>
          <w:color w:val="000000" w:themeColor="text1"/>
        </w:rPr>
        <w:t xml:space="preserve">J Baumeister. et al. Changed cortical activity after anterior cruciate ligament reconstruction in a joint position paradigm: An EEG study. </w:t>
      </w:r>
      <w:r w:rsidRPr="00D47B0E">
        <w:rPr>
          <w:rFonts w:ascii="Times" w:hAnsi="Times" w:cs="Times New Roman"/>
          <w:iCs/>
          <w:color w:val="000000" w:themeColor="text1"/>
        </w:rPr>
        <w:t>Scand. J. Med. Amp Sci. Sports.</w:t>
      </w:r>
      <w:r w:rsidRPr="00D47B0E">
        <w:rPr>
          <w:rFonts w:ascii="Times" w:hAnsi="Times" w:cs="Times New Roman"/>
          <w:color w:val="000000" w:themeColor="text1"/>
        </w:rPr>
        <w:t xml:space="preserve"> 2008; </w:t>
      </w:r>
      <w:r w:rsidRPr="00D47B0E">
        <w:rPr>
          <w:rFonts w:ascii="Times" w:hAnsi="Times" w:cs="Times New Roman"/>
          <w:bCs/>
          <w:color w:val="000000" w:themeColor="text1"/>
        </w:rPr>
        <w:t>18,</w:t>
      </w:r>
      <w:r w:rsidRPr="00D47B0E">
        <w:rPr>
          <w:rFonts w:ascii="Times" w:hAnsi="Times" w:cs="Times New Roman"/>
          <w:color w:val="000000" w:themeColor="text1"/>
        </w:rPr>
        <w:t xml:space="preserve"> 473–84.</w:t>
      </w:r>
    </w:p>
    <w:p w14:paraId="572D400F" w14:textId="009DDEDA" w:rsidR="00D47B0E" w:rsidRPr="00D47B0E" w:rsidRDefault="00D47B0E" w:rsidP="00D47B0E">
      <w:pPr>
        <w:pStyle w:val="Bibliography"/>
        <w:numPr>
          <w:ilvl w:val="0"/>
          <w:numId w:val="2"/>
        </w:numPr>
        <w:rPr>
          <w:rFonts w:ascii="Times" w:hAnsi="Times" w:cs="Times New Roman"/>
          <w:color w:val="000000" w:themeColor="text1"/>
        </w:rPr>
      </w:pPr>
      <w:proofErr w:type="spellStart"/>
      <w:r w:rsidRPr="00D47B0E">
        <w:rPr>
          <w:rFonts w:ascii="Times" w:hAnsi="Times" w:cs="Times New Roman"/>
          <w:color w:val="000000" w:themeColor="text1"/>
        </w:rPr>
        <w:t>Kapreli</w:t>
      </w:r>
      <w:proofErr w:type="spellEnd"/>
      <w:r w:rsidRPr="00D47B0E">
        <w:rPr>
          <w:rFonts w:ascii="Times" w:hAnsi="Times" w:cs="Times New Roman"/>
          <w:color w:val="000000" w:themeColor="text1"/>
        </w:rPr>
        <w:t xml:space="preserve">, E. </w:t>
      </w:r>
      <w:r w:rsidRPr="00D47B0E">
        <w:rPr>
          <w:rFonts w:ascii="Times" w:hAnsi="Times" w:cs="Times New Roman"/>
          <w:iCs/>
          <w:color w:val="000000" w:themeColor="text1"/>
        </w:rPr>
        <w:t>et al.</w:t>
      </w:r>
      <w:r w:rsidRPr="00D47B0E">
        <w:rPr>
          <w:rFonts w:ascii="Times" w:hAnsi="Times" w:cs="Times New Roman"/>
          <w:color w:val="000000" w:themeColor="text1"/>
        </w:rPr>
        <w:t xml:space="preserve"> Anterior cruciate ligament deficiency causes brain plasticity: a functional MRI study. </w:t>
      </w:r>
      <w:r w:rsidRPr="00D47B0E">
        <w:rPr>
          <w:rFonts w:ascii="Times" w:hAnsi="Times" w:cs="Times New Roman"/>
          <w:iCs/>
          <w:color w:val="000000" w:themeColor="text1"/>
        </w:rPr>
        <w:t>Am. J. Sports Med.</w:t>
      </w:r>
      <w:r w:rsidRPr="00D47B0E">
        <w:rPr>
          <w:rFonts w:ascii="Times" w:hAnsi="Times" w:cs="Times New Roman"/>
          <w:color w:val="000000" w:themeColor="text1"/>
        </w:rPr>
        <w:t xml:space="preserve"> 2009; </w:t>
      </w:r>
      <w:r w:rsidRPr="00D47B0E">
        <w:rPr>
          <w:rFonts w:ascii="Times" w:hAnsi="Times" w:cs="Times New Roman"/>
          <w:bCs/>
          <w:color w:val="000000" w:themeColor="text1"/>
        </w:rPr>
        <w:t>37,</w:t>
      </w:r>
      <w:r w:rsidRPr="00D47B0E">
        <w:rPr>
          <w:rFonts w:ascii="Times" w:hAnsi="Times" w:cs="Times New Roman"/>
          <w:color w:val="000000" w:themeColor="text1"/>
        </w:rPr>
        <w:t xml:space="preserve"> 2419–2426.</w:t>
      </w:r>
    </w:p>
    <w:p w14:paraId="347B480E" w14:textId="322A8555" w:rsidR="004C1C45" w:rsidRPr="00D47B0E" w:rsidRDefault="00D47B0E" w:rsidP="00D47B0E">
      <w:pPr>
        <w:pStyle w:val="Bibliography"/>
        <w:numPr>
          <w:ilvl w:val="0"/>
          <w:numId w:val="2"/>
        </w:numPr>
        <w:rPr>
          <w:rFonts w:ascii="Times" w:hAnsi="Times" w:cs="Times New Roman"/>
          <w:color w:val="000000" w:themeColor="text1"/>
        </w:rPr>
      </w:pPr>
      <w:r w:rsidRPr="00D47B0E">
        <w:rPr>
          <w:rFonts w:ascii="Times" w:hAnsi="Times"/>
          <w:color w:val="000000" w:themeColor="text1"/>
        </w:rPr>
        <w:t xml:space="preserve">Grooms, D. et al. Neuroplasticity </w:t>
      </w:r>
      <w:r>
        <w:rPr>
          <w:rFonts w:ascii="Times" w:hAnsi="Times"/>
          <w:color w:val="000000" w:themeColor="text1"/>
        </w:rPr>
        <w:t>a</w:t>
      </w:r>
      <w:r w:rsidRPr="00D47B0E">
        <w:rPr>
          <w:rFonts w:ascii="Times" w:hAnsi="Times"/>
          <w:color w:val="000000" w:themeColor="text1"/>
        </w:rPr>
        <w:t>ssociated with</w:t>
      </w:r>
      <w:r>
        <w:rPr>
          <w:rFonts w:ascii="Times" w:hAnsi="Times"/>
          <w:color w:val="000000" w:themeColor="text1"/>
        </w:rPr>
        <w:t xml:space="preserve"> anterior cruciate ligament r</w:t>
      </w:r>
      <w:r w:rsidRPr="00D47B0E">
        <w:rPr>
          <w:rFonts w:ascii="Times" w:hAnsi="Times"/>
          <w:color w:val="000000" w:themeColor="text1"/>
        </w:rPr>
        <w:t xml:space="preserve">econstruction. </w:t>
      </w:r>
      <w:r w:rsidRPr="00D47B0E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J </w:t>
      </w:r>
      <w:proofErr w:type="spellStart"/>
      <w:r w:rsidRPr="00D47B0E">
        <w:rPr>
          <w:rFonts w:ascii="Times" w:eastAsia="Times New Roman" w:hAnsi="Times" w:cs="Arial"/>
          <w:color w:val="000000" w:themeColor="text1"/>
          <w:shd w:val="clear" w:color="auto" w:fill="FFFFFF"/>
        </w:rPr>
        <w:t>Orthop</w:t>
      </w:r>
      <w:proofErr w:type="spellEnd"/>
      <w:r w:rsidRPr="00D47B0E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Sports Phys </w:t>
      </w:r>
      <w:proofErr w:type="spellStart"/>
      <w:r w:rsidRPr="00D47B0E">
        <w:rPr>
          <w:rFonts w:ascii="Times" w:eastAsia="Times New Roman" w:hAnsi="Times" w:cs="Arial"/>
          <w:color w:val="000000" w:themeColor="text1"/>
          <w:shd w:val="clear" w:color="auto" w:fill="FFFFFF"/>
        </w:rPr>
        <w:t>Ther</w:t>
      </w:r>
      <w:proofErr w:type="spellEnd"/>
      <w:r w:rsidRPr="00D47B0E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. </w:t>
      </w:r>
      <w:r w:rsidRPr="00D47B0E">
        <w:rPr>
          <w:rFonts w:ascii="Times" w:eastAsia="Times New Roman" w:hAnsi="Times" w:cs="Arial"/>
          <w:iCs/>
          <w:color w:val="000000" w:themeColor="text1"/>
          <w:shd w:val="clear" w:color="auto" w:fill="FFFFFF"/>
        </w:rPr>
        <w:t xml:space="preserve">2017; 47(3):180-189. </w:t>
      </w:r>
    </w:p>
    <w:p w14:paraId="245D2A2F" w14:textId="77777777" w:rsidR="00D47B0E" w:rsidRPr="00D47B0E" w:rsidRDefault="00D47B0E" w:rsidP="00D47B0E">
      <w:pPr>
        <w:pStyle w:val="ListParagraph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D47B0E">
        <w:rPr>
          <w:rFonts w:ascii="Times" w:hAnsi="Times" w:cs="Times New Roman"/>
          <w:color w:val="000000" w:themeColor="text1"/>
        </w:rPr>
        <w:t xml:space="preserve">Grooms, D. Neuroplasticity Following Anterior Cruciate Ligament Injury: A Framework for Visual-Motor Training Approaches in Rehabilitation. </w:t>
      </w:r>
      <w:r w:rsidRPr="00D47B0E">
        <w:rPr>
          <w:rFonts w:ascii="Times" w:hAnsi="Times" w:cs="Times New Roman"/>
          <w:iCs/>
          <w:color w:val="000000" w:themeColor="text1"/>
        </w:rPr>
        <w:t xml:space="preserve">J. </w:t>
      </w:r>
      <w:proofErr w:type="spellStart"/>
      <w:r w:rsidRPr="00D47B0E">
        <w:rPr>
          <w:rFonts w:ascii="Times" w:hAnsi="Times" w:cs="Times New Roman"/>
          <w:iCs/>
          <w:color w:val="000000" w:themeColor="text1"/>
        </w:rPr>
        <w:t>Orthop</w:t>
      </w:r>
      <w:proofErr w:type="spellEnd"/>
      <w:r w:rsidRPr="00D47B0E">
        <w:rPr>
          <w:rFonts w:ascii="Times" w:hAnsi="Times" w:cs="Times New Roman"/>
          <w:iCs/>
          <w:color w:val="000000" w:themeColor="text1"/>
        </w:rPr>
        <w:t xml:space="preserve">. Sports Phys. </w:t>
      </w:r>
      <w:proofErr w:type="spellStart"/>
      <w:r w:rsidRPr="00D47B0E">
        <w:rPr>
          <w:rFonts w:ascii="Times" w:hAnsi="Times" w:cs="Times New Roman"/>
          <w:iCs/>
          <w:color w:val="000000" w:themeColor="text1"/>
        </w:rPr>
        <w:t>Ther</w:t>
      </w:r>
      <w:proofErr w:type="spellEnd"/>
      <w:r w:rsidRPr="00D47B0E">
        <w:rPr>
          <w:rFonts w:ascii="Times" w:hAnsi="Times" w:cs="Times New Roman"/>
          <w:iCs/>
          <w:color w:val="000000" w:themeColor="text1"/>
        </w:rPr>
        <w:t>.</w:t>
      </w:r>
      <w:r w:rsidRPr="00D47B0E">
        <w:rPr>
          <w:rFonts w:ascii="Times" w:hAnsi="Times" w:cs="Times New Roman"/>
          <w:color w:val="000000" w:themeColor="text1"/>
        </w:rPr>
        <w:t xml:space="preserve"> 2015; 1–33.</w:t>
      </w:r>
    </w:p>
    <w:p w14:paraId="15B4E7D8" w14:textId="4772996F" w:rsidR="00D5660E" w:rsidRPr="00D47B0E" w:rsidRDefault="00D5660E" w:rsidP="00D47B0E">
      <w:pPr>
        <w:pStyle w:val="ListParagraph"/>
        <w:numPr>
          <w:ilvl w:val="0"/>
          <w:numId w:val="2"/>
        </w:numPr>
        <w:rPr>
          <w:rFonts w:ascii="Times" w:hAnsi="Times"/>
          <w:color w:val="000000" w:themeColor="text1"/>
        </w:rPr>
      </w:pPr>
      <w:r w:rsidRPr="00D47B0E">
        <w:rPr>
          <w:rFonts w:ascii="Times" w:hAnsi="Times"/>
          <w:color w:val="000000" w:themeColor="text1"/>
        </w:rPr>
        <w:t>Dhillon</w:t>
      </w:r>
      <w:r w:rsidR="00D47B0E" w:rsidRPr="00D47B0E">
        <w:rPr>
          <w:rFonts w:ascii="Times" w:hAnsi="Times"/>
          <w:color w:val="000000" w:themeColor="text1"/>
        </w:rPr>
        <w:t>, M. et al.</w:t>
      </w:r>
      <w:r w:rsidRPr="00D47B0E">
        <w:rPr>
          <w:rFonts w:ascii="Times" w:hAnsi="Times"/>
          <w:color w:val="000000" w:themeColor="text1"/>
        </w:rPr>
        <w:t xml:space="preserve"> </w:t>
      </w:r>
      <w:r w:rsidR="00D47B0E" w:rsidRPr="00D47B0E">
        <w:rPr>
          <w:rFonts w:ascii="Times" w:hAnsi="Times"/>
          <w:color w:val="000000" w:themeColor="text1"/>
        </w:rPr>
        <w:t xml:space="preserve">Differences among mechanoreceptors in healthy and injured anterior cruciate ligaments and their clinical importance. </w:t>
      </w:r>
      <w:hyperlink r:id="rId7" w:history="1">
        <w:r w:rsidR="00D47B0E" w:rsidRPr="00D47B0E">
          <w:rPr>
            <w:rFonts w:ascii="Times" w:eastAsia="Times New Roman" w:hAnsi="Times" w:cs="Arial"/>
            <w:color w:val="000000" w:themeColor="text1"/>
            <w:shd w:val="clear" w:color="auto" w:fill="FFFFFF"/>
          </w:rPr>
          <w:t>Muscles Ligaments Tendons J</w:t>
        </w:r>
      </w:hyperlink>
      <w:r w:rsidR="00D47B0E" w:rsidRPr="00D47B0E">
        <w:rPr>
          <w:rFonts w:ascii="Times" w:eastAsia="Times New Roman" w:hAnsi="Times" w:cs="Arial"/>
          <w:color w:val="000000" w:themeColor="text1"/>
          <w:shd w:val="clear" w:color="auto" w:fill="FFFFFF"/>
        </w:rPr>
        <w:t>. 2012; 2(1): 38–43</w:t>
      </w:r>
    </w:p>
    <w:p w14:paraId="2F5764A5" w14:textId="0471FCE0" w:rsidR="005966FD" w:rsidRPr="00D47B0E" w:rsidRDefault="005966FD" w:rsidP="00D47B0E">
      <w:pPr>
        <w:pStyle w:val="ListParagraph"/>
        <w:rPr>
          <w:rFonts w:ascii="Times" w:hAnsi="Times"/>
        </w:rPr>
      </w:pPr>
    </w:p>
    <w:p w14:paraId="582F1538" w14:textId="77777777" w:rsidR="004C1C45" w:rsidRDefault="004C1C45"/>
    <w:sectPr w:rsidR="004C1C45" w:rsidSect="00B3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CBB9" w14:textId="77777777" w:rsidR="00EB7D31" w:rsidRDefault="00EB7D31" w:rsidP="009B0E03">
      <w:r>
        <w:separator/>
      </w:r>
    </w:p>
  </w:endnote>
  <w:endnote w:type="continuationSeparator" w:id="0">
    <w:p w14:paraId="4C9061B6" w14:textId="77777777" w:rsidR="00EB7D31" w:rsidRDefault="00EB7D31" w:rsidP="009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8857" w14:textId="77777777" w:rsidR="00EB7D31" w:rsidRDefault="00EB7D31" w:rsidP="009B0E03">
      <w:r>
        <w:separator/>
      </w:r>
    </w:p>
  </w:footnote>
  <w:footnote w:type="continuationSeparator" w:id="0">
    <w:p w14:paraId="144FF32B" w14:textId="77777777" w:rsidR="00EB7D31" w:rsidRDefault="00EB7D31" w:rsidP="009B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0E17"/>
    <w:multiLevelType w:val="hybridMultilevel"/>
    <w:tmpl w:val="68A8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049"/>
    <w:multiLevelType w:val="hybridMultilevel"/>
    <w:tmpl w:val="9BEE84BC"/>
    <w:lvl w:ilvl="0" w:tplc="90C08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3F"/>
    <w:rsid w:val="00033AC6"/>
    <w:rsid w:val="000C5335"/>
    <w:rsid w:val="000E7E32"/>
    <w:rsid w:val="001206E3"/>
    <w:rsid w:val="00152056"/>
    <w:rsid w:val="00166C1B"/>
    <w:rsid w:val="0019059A"/>
    <w:rsid w:val="00204620"/>
    <w:rsid w:val="00250288"/>
    <w:rsid w:val="00252FA6"/>
    <w:rsid w:val="002B244C"/>
    <w:rsid w:val="002F35BE"/>
    <w:rsid w:val="00367515"/>
    <w:rsid w:val="003A7700"/>
    <w:rsid w:val="003C51D0"/>
    <w:rsid w:val="003D7AD8"/>
    <w:rsid w:val="00463375"/>
    <w:rsid w:val="004C1C45"/>
    <w:rsid w:val="005966FD"/>
    <w:rsid w:val="005A49A1"/>
    <w:rsid w:val="005B343F"/>
    <w:rsid w:val="00634B4B"/>
    <w:rsid w:val="006F099E"/>
    <w:rsid w:val="006F5E40"/>
    <w:rsid w:val="00730947"/>
    <w:rsid w:val="007A60B4"/>
    <w:rsid w:val="007B3807"/>
    <w:rsid w:val="00821A22"/>
    <w:rsid w:val="0082326E"/>
    <w:rsid w:val="00832DD7"/>
    <w:rsid w:val="0089611D"/>
    <w:rsid w:val="0094729F"/>
    <w:rsid w:val="00965B80"/>
    <w:rsid w:val="009B0E03"/>
    <w:rsid w:val="009D447A"/>
    <w:rsid w:val="00A85D05"/>
    <w:rsid w:val="00A9047F"/>
    <w:rsid w:val="00A935C8"/>
    <w:rsid w:val="00B04F24"/>
    <w:rsid w:val="00B112FE"/>
    <w:rsid w:val="00B35936"/>
    <w:rsid w:val="00B37E29"/>
    <w:rsid w:val="00B512D5"/>
    <w:rsid w:val="00B71E73"/>
    <w:rsid w:val="00C07818"/>
    <w:rsid w:val="00C46735"/>
    <w:rsid w:val="00C475BA"/>
    <w:rsid w:val="00C56639"/>
    <w:rsid w:val="00C60676"/>
    <w:rsid w:val="00C954CA"/>
    <w:rsid w:val="00D347E0"/>
    <w:rsid w:val="00D47B0E"/>
    <w:rsid w:val="00D5660E"/>
    <w:rsid w:val="00D8739B"/>
    <w:rsid w:val="00D97D2F"/>
    <w:rsid w:val="00E01F3D"/>
    <w:rsid w:val="00E41BE7"/>
    <w:rsid w:val="00E45A10"/>
    <w:rsid w:val="00EB5491"/>
    <w:rsid w:val="00EB67A0"/>
    <w:rsid w:val="00EB7D31"/>
    <w:rsid w:val="00F47360"/>
    <w:rsid w:val="00F84B32"/>
    <w:rsid w:val="00FA3D5E"/>
    <w:rsid w:val="00FB1CFF"/>
    <w:rsid w:val="00FD3A3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23E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7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47B0E"/>
  </w:style>
  <w:style w:type="character" w:customStyle="1" w:styleId="nlmstring-name">
    <w:name w:val="nlm_string-name"/>
    <w:basedOn w:val="DefaultParagraphFont"/>
    <w:rsid w:val="00D47B0E"/>
  </w:style>
  <w:style w:type="character" w:customStyle="1" w:styleId="rmq-annotator-hl">
    <w:name w:val="rmq-annotator-hl"/>
    <w:basedOn w:val="DefaultParagraphFont"/>
    <w:rsid w:val="00D47B0E"/>
  </w:style>
  <w:style w:type="character" w:styleId="Hyperlink">
    <w:name w:val="Hyperlink"/>
    <w:basedOn w:val="DefaultParagraphFont"/>
    <w:uiPriority w:val="99"/>
    <w:semiHidden/>
    <w:unhideWhenUsed/>
    <w:rsid w:val="00D47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03"/>
  </w:style>
  <w:style w:type="paragraph" w:styleId="Footer">
    <w:name w:val="footer"/>
    <w:basedOn w:val="Normal"/>
    <w:link w:val="FooterChar"/>
    <w:uiPriority w:val="99"/>
    <w:unhideWhenUsed/>
    <w:rsid w:val="009B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36664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Elizabeth</dc:creator>
  <cp:keywords/>
  <dc:description/>
  <cp:lastModifiedBy>Peter Decoteau</cp:lastModifiedBy>
  <cp:revision>16</cp:revision>
  <dcterms:created xsi:type="dcterms:W3CDTF">2019-11-12T16:32:00Z</dcterms:created>
  <dcterms:modified xsi:type="dcterms:W3CDTF">2022-07-01T16:17:00Z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id="ppq4IHVY"/&gt;&lt;style id="http://www.zotero.org/styles/american-medical-association" hasBibliography="1" bibliographyStyleHasBeenSet="0"/&gt;&lt;prefs&gt;&lt;pref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value="true"/&gt;&lt;pref name="noteType" value=""/&gt;&lt;/prefs&gt;&lt;/data&gt;</vt:lpwstr>
  </property>
</Properties>
</file>